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E75" w:rsidRPr="007B6559" w:rsidRDefault="005C70E7" w:rsidP="00496ED6">
      <w:pPr>
        <w:spacing w:after="0" w:line="240" w:lineRule="auto"/>
        <w:jc w:val="center"/>
        <w:rPr>
          <w:rFonts w:ascii="Bookman Old Style" w:hAnsi="Bookman Old Style" w:cs="Times New Roman"/>
          <w:smallCaps/>
          <w:color w:val="000000" w:themeColor="text1"/>
          <w:sz w:val="24"/>
          <w:szCs w:val="24"/>
        </w:rPr>
      </w:pPr>
      <w:r w:rsidRPr="007B6559">
        <w:rPr>
          <w:rFonts w:ascii="Bookman Old Style" w:hAnsi="Bookman Old Style" w:cs="Times New Roman"/>
          <w:smallCaps/>
          <w:color w:val="000000" w:themeColor="text1"/>
          <w:sz w:val="24"/>
          <w:szCs w:val="24"/>
        </w:rPr>
        <w:t>Comunicado 1</w:t>
      </w:r>
      <w:r w:rsidR="00496ED6" w:rsidRPr="007B6559">
        <w:rPr>
          <w:rFonts w:ascii="Bookman Old Style" w:hAnsi="Bookman Old Style" w:cs="Times New Roman"/>
          <w:smallCaps/>
          <w:color w:val="000000" w:themeColor="text1"/>
          <w:sz w:val="24"/>
          <w:szCs w:val="24"/>
        </w:rPr>
        <w:t>9</w:t>
      </w:r>
      <w:r w:rsidR="00A11E75" w:rsidRPr="007B6559">
        <w:rPr>
          <w:rFonts w:ascii="Bookman Old Style" w:hAnsi="Bookman Old Style" w:cs="Times New Roman"/>
          <w:smallCaps/>
          <w:color w:val="000000" w:themeColor="text1"/>
          <w:sz w:val="24"/>
          <w:szCs w:val="24"/>
        </w:rPr>
        <w:t>/17 Sala Penal</w:t>
      </w:r>
    </w:p>
    <w:p w:rsidR="00B91571" w:rsidRPr="007B6559" w:rsidRDefault="00B91571" w:rsidP="00496ED6">
      <w:pPr>
        <w:spacing w:after="0" w:line="240" w:lineRule="auto"/>
        <w:jc w:val="center"/>
        <w:rPr>
          <w:rFonts w:ascii="Bookman Old Style" w:hAnsi="Bookman Old Style" w:cs="Times New Roman"/>
          <w:smallCaps/>
          <w:color w:val="000000" w:themeColor="text1"/>
          <w:sz w:val="24"/>
          <w:szCs w:val="24"/>
        </w:rPr>
      </w:pPr>
    </w:p>
    <w:p w:rsidR="00A11E75" w:rsidRPr="007B6559" w:rsidRDefault="00B113DD" w:rsidP="00496ED6">
      <w:pPr>
        <w:pStyle w:val="NormalWeb"/>
        <w:jc w:val="center"/>
        <w:rPr>
          <w:rFonts w:ascii="Bookman Old Style" w:hAnsi="Bookman Old Style"/>
          <w:color w:val="000000" w:themeColor="text1"/>
        </w:rPr>
      </w:pPr>
      <w:r w:rsidRPr="007B6559">
        <w:rPr>
          <w:rFonts w:ascii="Bookman Old Style" w:hAnsi="Bookman Old Style"/>
          <w:b/>
          <w:smallCaps/>
          <w:color w:val="000000" w:themeColor="text1"/>
        </w:rPr>
        <w:t xml:space="preserve">JEP aplica en </w:t>
      </w:r>
      <w:r w:rsidR="00295813" w:rsidRPr="007B6559">
        <w:rPr>
          <w:rFonts w:ascii="Bookman Old Style" w:hAnsi="Bookman Old Style"/>
          <w:b/>
          <w:smallCaps/>
          <w:color w:val="000000" w:themeColor="text1"/>
        </w:rPr>
        <w:t>expedientes de ejecuciones extrajudiciales</w:t>
      </w:r>
    </w:p>
    <w:p w:rsidR="00A11E75" w:rsidRPr="007B6559" w:rsidRDefault="00A11E75" w:rsidP="00496ED6">
      <w:pPr>
        <w:pStyle w:val="NormalWeb"/>
        <w:tabs>
          <w:tab w:val="left" w:pos="4020"/>
          <w:tab w:val="center" w:pos="4986"/>
        </w:tabs>
        <w:rPr>
          <w:rFonts w:ascii="Bookman Old Style" w:hAnsi="Bookman Old Style"/>
          <w:color w:val="000000" w:themeColor="text1"/>
        </w:rPr>
      </w:pPr>
      <w:r w:rsidRPr="007B6559">
        <w:rPr>
          <w:rFonts w:ascii="Bookman Old Style" w:hAnsi="Bookman Old Style"/>
          <w:b/>
          <w:smallCaps/>
          <w:color w:val="000000" w:themeColor="text1"/>
        </w:rPr>
        <w:tab/>
        <w:t> </w:t>
      </w:r>
    </w:p>
    <w:p w:rsidR="00A76B3B" w:rsidRPr="007B6559" w:rsidRDefault="00A11E75" w:rsidP="00496ED6">
      <w:pPr>
        <w:pStyle w:val="NormalWeb"/>
        <w:jc w:val="both"/>
        <w:rPr>
          <w:rFonts w:ascii="Bookman Old Style" w:hAnsi="Bookman Old Style"/>
          <w:color w:val="000000" w:themeColor="text1"/>
        </w:rPr>
      </w:pPr>
      <w:r w:rsidRPr="007B6559">
        <w:rPr>
          <w:rFonts w:ascii="Bookman Old Style" w:hAnsi="Bookman Old Style"/>
          <w:b/>
          <w:color w:val="000000" w:themeColor="text1"/>
        </w:rPr>
        <w:t xml:space="preserve">Bogotá, D.C., </w:t>
      </w:r>
      <w:r w:rsidR="00496ED6" w:rsidRPr="007B6559">
        <w:rPr>
          <w:rFonts w:ascii="Bookman Old Style" w:hAnsi="Bookman Old Style"/>
          <w:b/>
          <w:color w:val="000000" w:themeColor="text1"/>
        </w:rPr>
        <w:t>26</w:t>
      </w:r>
      <w:r w:rsidRPr="007B6559">
        <w:rPr>
          <w:rFonts w:ascii="Bookman Old Style" w:hAnsi="Bookman Old Style"/>
          <w:b/>
          <w:color w:val="000000" w:themeColor="text1"/>
        </w:rPr>
        <w:t xml:space="preserve"> de </w:t>
      </w:r>
      <w:r w:rsidR="00496ED6" w:rsidRPr="007B6559">
        <w:rPr>
          <w:rFonts w:ascii="Bookman Old Style" w:hAnsi="Bookman Old Style"/>
          <w:b/>
          <w:color w:val="000000" w:themeColor="text1"/>
        </w:rPr>
        <w:t>jul</w:t>
      </w:r>
      <w:r w:rsidR="00B91571" w:rsidRPr="007B6559">
        <w:rPr>
          <w:rFonts w:ascii="Bookman Old Style" w:hAnsi="Bookman Old Style"/>
          <w:b/>
          <w:color w:val="000000" w:themeColor="text1"/>
        </w:rPr>
        <w:t xml:space="preserve">io </w:t>
      </w:r>
      <w:r w:rsidRPr="007B6559">
        <w:rPr>
          <w:rFonts w:ascii="Bookman Old Style" w:hAnsi="Bookman Old Style"/>
          <w:b/>
          <w:color w:val="000000" w:themeColor="text1"/>
        </w:rPr>
        <w:t xml:space="preserve">de 2017. </w:t>
      </w:r>
      <w:r w:rsidR="00A76B3B" w:rsidRPr="007B6559">
        <w:rPr>
          <w:rFonts w:ascii="Bookman Old Style" w:hAnsi="Bookman Old Style"/>
          <w:color w:val="000000" w:themeColor="text1"/>
        </w:rPr>
        <w:t xml:space="preserve">Aunque se trata de delitos que no serán objeto de amnistía ni  indulto, </w:t>
      </w:r>
      <w:r w:rsidR="00A70369" w:rsidRPr="007B6559">
        <w:rPr>
          <w:rFonts w:ascii="Bookman Old Style" w:hAnsi="Bookman Old Style"/>
          <w:color w:val="000000" w:themeColor="text1"/>
        </w:rPr>
        <w:t xml:space="preserve">a </w:t>
      </w:r>
      <w:r w:rsidR="00A76B3B" w:rsidRPr="007B6559">
        <w:rPr>
          <w:rFonts w:ascii="Bookman Old Style" w:hAnsi="Bookman Old Style"/>
          <w:color w:val="000000" w:themeColor="text1"/>
        </w:rPr>
        <w:t xml:space="preserve">los miembros de la Fuerza Pública procesados o condenados por ejecuciones extrajudiciales, cometidas </w:t>
      </w:r>
      <w:r w:rsidR="00A70369" w:rsidRPr="007B6559">
        <w:rPr>
          <w:rFonts w:ascii="Bookman Old Style" w:hAnsi="Bookman Old Style"/>
          <w:color w:val="000000" w:themeColor="text1"/>
        </w:rPr>
        <w:t xml:space="preserve">por causa, con ocasión  o en relación </w:t>
      </w:r>
      <w:r w:rsidR="00A76B3B" w:rsidRPr="007B6559">
        <w:rPr>
          <w:rFonts w:ascii="Bookman Old Style" w:hAnsi="Bookman Old Style"/>
          <w:color w:val="000000" w:themeColor="text1"/>
        </w:rPr>
        <w:t xml:space="preserve">con el conflicto armado, </w:t>
      </w:r>
      <w:r w:rsidR="00B113DD" w:rsidRPr="007B6559">
        <w:rPr>
          <w:rFonts w:ascii="Bookman Old Style" w:hAnsi="Bookman Old Style"/>
          <w:color w:val="000000" w:themeColor="text1"/>
        </w:rPr>
        <w:t>les aplica e</w:t>
      </w:r>
      <w:r w:rsidR="0034703C" w:rsidRPr="007B6559">
        <w:rPr>
          <w:rFonts w:ascii="Bookman Old Style" w:hAnsi="Bookman Old Style"/>
          <w:color w:val="000000" w:themeColor="text1"/>
        </w:rPr>
        <w:t>l beneficio de</w:t>
      </w:r>
      <w:r w:rsidR="00A76B3B" w:rsidRPr="007B6559">
        <w:rPr>
          <w:rFonts w:ascii="Bookman Old Style" w:hAnsi="Bookman Old Style"/>
          <w:color w:val="000000" w:themeColor="text1"/>
        </w:rPr>
        <w:t xml:space="preserve"> la suspensión de las órdenes de captura cuando</w:t>
      </w:r>
      <w:r w:rsidR="00E13E9B" w:rsidRPr="007B6559">
        <w:rPr>
          <w:rFonts w:ascii="Bookman Old Style" w:hAnsi="Bookman Old Style"/>
          <w:color w:val="000000" w:themeColor="text1"/>
        </w:rPr>
        <w:t xml:space="preserve">, estando </w:t>
      </w:r>
      <w:r w:rsidR="00E13E9B" w:rsidRPr="007B6559">
        <w:rPr>
          <w:rFonts w:ascii="Bookman Old Style" w:hAnsi="Bookman Old Style"/>
          <w:color w:val="000000" w:themeColor="text1"/>
        </w:rPr>
        <w:t>prófugos de la justicia</w:t>
      </w:r>
      <w:r w:rsidR="00E13E9B" w:rsidRPr="007B6559">
        <w:rPr>
          <w:rFonts w:ascii="Bookman Old Style" w:hAnsi="Bookman Old Style"/>
          <w:color w:val="000000" w:themeColor="text1"/>
        </w:rPr>
        <w:t>,</w:t>
      </w:r>
      <w:r w:rsidR="00A76B3B" w:rsidRPr="007B6559">
        <w:rPr>
          <w:rFonts w:ascii="Bookman Old Style" w:hAnsi="Bookman Old Style"/>
          <w:color w:val="000000" w:themeColor="text1"/>
        </w:rPr>
        <w:t xml:space="preserve"> se someten a la Jurisdicción Especial para la Paz.</w:t>
      </w:r>
    </w:p>
    <w:p w:rsidR="00A76B3B" w:rsidRPr="007B6559" w:rsidRDefault="00A76B3B" w:rsidP="00496ED6">
      <w:pPr>
        <w:pStyle w:val="NormalWeb"/>
        <w:jc w:val="both"/>
        <w:rPr>
          <w:rFonts w:ascii="Bookman Old Style" w:hAnsi="Bookman Old Style"/>
          <w:color w:val="000000" w:themeColor="text1"/>
        </w:rPr>
      </w:pPr>
    </w:p>
    <w:p w:rsidR="0034703C" w:rsidRPr="007B6559" w:rsidRDefault="0034703C" w:rsidP="0034703C">
      <w:pPr>
        <w:pStyle w:val="NormalWeb"/>
        <w:jc w:val="both"/>
        <w:rPr>
          <w:rFonts w:ascii="Bookman Old Style" w:hAnsi="Bookman Old Style" w:cs="Arial"/>
          <w:color w:val="000000" w:themeColor="text1"/>
        </w:rPr>
      </w:pPr>
      <w:r w:rsidRPr="007B6559">
        <w:rPr>
          <w:rFonts w:ascii="Bookman Old Style" w:hAnsi="Bookman Old Style"/>
          <w:color w:val="000000" w:themeColor="text1"/>
        </w:rPr>
        <w:t xml:space="preserve">Esta medida, </w:t>
      </w:r>
      <w:r w:rsidRPr="007B6559">
        <w:rPr>
          <w:rFonts w:ascii="Bookman Old Style" w:hAnsi="Bookman Old Style" w:cs="Arial"/>
          <w:color w:val="000000" w:themeColor="text1"/>
        </w:rPr>
        <w:t>eminentemente temporal y provisional, no implica que el Estado decline o renuncie “al imperativo constitucional de impartir</w:t>
      </w:r>
      <w:r w:rsidR="0079081F" w:rsidRPr="007B6559">
        <w:rPr>
          <w:rFonts w:ascii="Bookman Old Style" w:hAnsi="Bookman Old Style" w:cs="Arial"/>
          <w:color w:val="000000" w:themeColor="text1"/>
        </w:rPr>
        <w:t xml:space="preserve"> justicia, </w:t>
      </w:r>
      <w:r w:rsidRPr="007B6559">
        <w:rPr>
          <w:rFonts w:ascii="Bookman Old Style" w:hAnsi="Bookman Old Style" w:cs="Arial"/>
          <w:color w:val="000000" w:themeColor="text1"/>
        </w:rPr>
        <w:t>como tampoco al interés de hacer efectiva la condena impuesta a los declarados responsables</w:t>
      </w:r>
      <w:r w:rsidR="0079081F" w:rsidRPr="007B6559">
        <w:rPr>
          <w:rFonts w:ascii="Bookman Old Style" w:hAnsi="Bookman Old Style" w:cs="Arial"/>
          <w:color w:val="000000" w:themeColor="text1"/>
        </w:rPr>
        <w:t xml:space="preserve"> </w:t>
      </w:r>
      <w:r w:rsidRPr="007B6559">
        <w:rPr>
          <w:rFonts w:ascii="Bookman Old Style" w:hAnsi="Bookman Old Style" w:cs="Arial"/>
          <w:color w:val="000000" w:themeColor="text1"/>
        </w:rPr>
        <w:t>para que cumplan la pena”.</w:t>
      </w:r>
    </w:p>
    <w:p w:rsidR="0034703C" w:rsidRPr="007B6559" w:rsidRDefault="00E208EE" w:rsidP="00E208EE">
      <w:pPr>
        <w:pStyle w:val="NormalWeb"/>
        <w:tabs>
          <w:tab w:val="left" w:pos="4470"/>
        </w:tabs>
        <w:jc w:val="both"/>
        <w:rPr>
          <w:rFonts w:ascii="Bookman Old Style" w:hAnsi="Bookman Old Style" w:cs="Arial"/>
          <w:color w:val="000000" w:themeColor="text1"/>
        </w:rPr>
      </w:pPr>
      <w:r w:rsidRPr="007B6559">
        <w:rPr>
          <w:rFonts w:ascii="Bookman Old Style" w:hAnsi="Bookman Old Style" w:cs="Arial"/>
          <w:color w:val="000000" w:themeColor="text1"/>
        </w:rPr>
        <w:tab/>
      </w:r>
    </w:p>
    <w:p w:rsidR="00BA2FD5" w:rsidRPr="007B6559" w:rsidRDefault="0034703C" w:rsidP="0034703C">
      <w:pPr>
        <w:tabs>
          <w:tab w:val="left" w:pos="2280"/>
        </w:tabs>
        <w:spacing w:after="0" w:line="240" w:lineRule="auto"/>
        <w:jc w:val="both"/>
        <w:rPr>
          <w:rFonts w:ascii="Bookman Old Style" w:hAnsi="Bookman Old Style"/>
          <w:color w:val="000000" w:themeColor="text1"/>
          <w:sz w:val="24"/>
          <w:szCs w:val="24"/>
        </w:rPr>
      </w:pPr>
      <w:r w:rsidRPr="007B6559">
        <w:rPr>
          <w:rFonts w:ascii="Bookman Old Style" w:hAnsi="Bookman Old Style"/>
          <w:color w:val="000000" w:themeColor="text1"/>
          <w:sz w:val="24"/>
          <w:szCs w:val="24"/>
        </w:rPr>
        <w:t xml:space="preserve">Así lo determinó la Corte Suprema de Justicia, al conceder la suspensión de las órdenes de captura </w:t>
      </w:r>
      <w:r w:rsidR="00BA2FD5" w:rsidRPr="007B6559">
        <w:rPr>
          <w:rFonts w:ascii="Bookman Old Style" w:hAnsi="Bookman Old Style"/>
          <w:color w:val="000000" w:themeColor="text1"/>
          <w:sz w:val="24"/>
          <w:szCs w:val="24"/>
        </w:rPr>
        <w:t xml:space="preserve">solicitada por dos </w:t>
      </w:r>
      <w:r w:rsidRPr="007B6559">
        <w:rPr>
          <w:rFonts w:ascii="Bookman Old Style" w:hAnsi="Bookman Old Style"/>
          <w:color w:val="000000" w:themeColor="text1"/>
          <w:sz w:val="24"/>
          <w:szCs w:val="24"/>
        </w:rPr>
        <w:t>soldados profesion</w:t>
      </w:r>
      <w:r w:rsidR="00295813" w:rsidRPr="007B6559">
        <w:rPr>
          <w:rFonts w:ascii="Bookman Old Style" w:hAnsi="Bookman Old Style"/>
          <w:color w:val="000000" w:themeColor="text1"/>
          <w:sz w:val="24"/>
          <w:szCs w:val="24"/>
        </w:rPr>
        <w:t>al</w:t>
      </w:r>
      <w:r w:rsidRPr="007B6559">
        <w:rPr>
          <w:rFonts w:ascii="Bookman Old Style" w:hAnsi="Bookman Old Style"/>
          <w:color w:val="000000" w:themeColor="text1"/>
          <w:sz w:val="24"/>
          <w:szCs w:val="24"/>
        </w:rPr>
        <w:t xml:space="preserve">es </w:t>
      </w:r>
      <w:r w:rsidR="00BA2FD5" w:rsidRPr="007B6559">
        <w:rPr>
          <w:rFonts w:ascii="Bookman Old Style" w:hAnsi="Bookman Old Style"/>
          <w:color w:val="000000" w:themeColor="text1"/>
          <w:sz w:val="24"/>
          <w:szCs w:val="24"/>
        </w:rPr>
        <w:t xml:space="preserve">y uno regular, condenados a 380 meses de prisión como coautores del delito de homicidio en persona protegida, quienes se </w:t>
      </w:r>
      <w:r w:rsidR="007146DC" w:rsidRPr="007B6559">
        <w:rPr>
          <w:rFonts w:ascii="Bookman Old Style" w:hAnsi="Bookman Old Style"/>
          <w:color w:val="000000" w:themeColor="text1"/>
          <w:sz w:val="24"/>
          <w:szCs w:val="24"/>
        </w:rPr>
        <w:t xml:space="preserve">acogieron al </w:t>
      </w:r>
      <w:r w:rsidR="0079081F" w:rsidRPr="007B6559">
        <w:rPr>
          <w:rFonts w:ascii="Bookman Old Style" w:hAnsi="Bookman Old Style"/>
          <w:color w:val="000000" w:themeColor="text1"/>
          <w:sz w:val="24"/>
          <w:szCs w:val="24"/>
        </w:rPr>
        <w:t>Sistema Integral de Verdad, Justicia, Reparación y no Repetición consagrado en la reforma constitucional (A</w:t>
      </w:r>
      <w:r w:rsidR="0028347C" w:rsidRPr="007B6559">
        <w:rPr>
          <w:rFonts w:ascii="Bookman Old Style" w:hAnsi="Bookman Old Style"/>
          <w:color w:val="000000" w:themeColor="text1"/>
          <w:sz w:val="24"/>
          <w:szCs w:val="24"/>
        </w:rPr>
        <w:t>.L.</w:t>
      </w:r>
      <w:r w:rsidR="0079081F" w:rsidRPr="007B6559">
        <w:rPr>
          <w:rFonts w:ascii="Bookman Old Style" w:hAnsi="Bookman Old Style"/>
          <w:color w:val="000000" w:themeColor="text1"/>
          <w:sz w:val="24"/>
          <w:szCs w:val="24"/>
        </w:rPr>
        <w:t>01</w:t>
      </w:r>
      <w:r w:rsidR="0028347C" w:rsidRPr="007B6559">
        <w:rPr>
          <w:rFonts w:ascii="Bookman Old Style" w:hAnsi="Bookman Old Style"/>
          <w:color w:val="000000" w:themeColor="text1"/>
          <w:sz w:val="24"/>
          <w:szCs w:val="24"/>
        </w:rPr>
        <w:t>/</w:t>
      </w:r>
      <w:r w:rsidR="0079081F" w:rsidRPr="007B6559">
        <w:rPr>
          <w:rFonts w:ascii="Bookman Old Style" w:hAnsi="Bookman Old Style"/>
          <w:color w:val="000000" w:themeColor="text1"/>
          <w:sz w:val="24"/>
          <w:szCs w:val="24"/>
        </w:rPr>
        <w:t>17) que desarrolla el Acuerdo Final para la Paz</w:t>
      </w:r>
      <w:r w:rsidR="00BA2FD5" w:rsidRPr="007B6559">
        <w:rPr>
          <w:rFonts w:ascii="Bookman Old Style" w:hAnsi="Bookman Old Style"/>
          <w:color w:val="000000" w:themeColor="text1"/>
          <w:sz w:val="24"/>
          <w:szCs w:val="24"/>
        </w:rPr>
        <w:t>.</w:t>
      </w:r>
    </w:p>
    <w:p w:rsidR="00BA2FD5" w:rsidRPr="007B6559" w:rsidRDefault="00BA2FD5" w:rsidP="0034703C">
      <w:pPr>
        <w:tabs>
          <w:tab w:val="left" w:pos="2280"/>
        </w:tabs>
        <w:spacing w:after="0" w:line="240" w:lineRule="auto"/>
        <w:jc w:val="both"/>
        <w:rPr>
          <w:rFonts w:ascii="Bookman Old Style" w:hAnsi="Bookman Old Style"/>
          <w:color w:val="000000" w:themeColor="text1"/>
          <w:sz w:val="24"/>
          <w:szCs w:val="24"/>
        </w:rPr>
      </w:pPr>
    </w:p>
    <w:p w:rsidR="0079081F" w:rsidRPr="007B6559" w:rsidRDefault="0079081F" w:rsidP="0079081F">
      <w:pPr>
        <w:tabs>
          <w:tab w:val="left" w:pos="2280"/>
        </w:tabs>
        <w:spacing w:after="0" w:line="240" w:lineRule="auto"/>
        <w:jc w:val="both"/>
        <w:rPr>
          <w:rFonts w:ascii="Bookman Old Style" w:hAnsi="Bookman Old Style" w:cs="Arial"/>
          <w:color w:val="000000" w:themeColor="text1"/>
          <w:sz w:val="24"/>
          <w:szCs w:val="24"/>
        </w:rPr>
      </w:pPr>
      <w:r w:rsidRPr="007B6559">
        <w:rPr>
          <w:rFonts w:ascii="Bookman Old Style" w:hAnsi="Bookman Old Style"/>
          <w:color w:val="000000" w:themeColor="text1"/>
          <w:sz w:val="24"/>
          <w:szCs w:val="24"/>
        </w:rPr>
        <w:t xml:space="preserve">Según la Sala de Casación Penal, estas decisiones tienden a propiciar que los exintegrantes de la Fuerza Pública </w:t>
      </w:r>
      <w:r w:rsidR="000C3240" w:rsidRPr="007B6559">
        <w:rPr>
          <w:rFonts w:ascii="Bookman Old Style" w:hAnsi="Bookman Old Style"/>
          <w:color w:val="000000" w:themeColor="text1"/>
          <w:sz w:val="24"/>
          <w:szCs w:val="24"/>
        </w:rPr>
        <w:t>prófugos de la justicia</w:t>
      </w:r>
      <w:r w:rsidRPr="007B6559">
        <w:rPr>
          <w:rFonts w:ascii="Bookman Old Style" w:hAnsi="Bookman Old Style"/>
          <w:color w:val="000000" w:themeColor="text1"/>
          <w:sz w:val="24"/>
          <w:szCs w:val="24"/>
        </w:rPr>
        <w:t xml:space="preserve"> </w:t>
      </w:r>
      <w:r w:rsidRPr="007B6559">
        <w:rPr>
          <w:rFonts w:ascii="Bookman Old Style" w:hAnsi="Bookman Old Style" w:cs="Arial"/>
          <w:color w:val="000000" w:themeColor="text1"/>
          <w:sz w:val="24"/>
          <w:szCs w:val="24"/>
        </w:rPr>
        <w:t>“</w:t>
      </w:r>
      <w:r w:rsidR="0034703C" w:rsidRPr="007B6559">
        <w:rPr>
          <w:rFonts w:ascii="Bookman Old Style" w:hAnsi="Bookman Old Style" w:cs="Arial"/>
          <w:color w:val="000000" w:themeColor="text1"/>
          <w:sz w:val="24"/>
          <w:szCs w:val="24"/>
        </w:rPr>
        <w:t>p</w:t>
      </w:r>
      <w:r w:rsidR="007B6559">
        <w:rPr>
          <w:rFonts w:ascii="Bookman Old Style" w:hAnsi="Bookman Old Style" w:cs="Arial"/>
          <w:color w:val="000000" w:themeColor="text1"/>
          <w:sz w:val="24"/>
          <w:szCs w:val="24"/>
        </w:rPr>
        <w:t xml:space="preserve">ermanezcan en libertad mientras </w:t>
      </w:r>
      <w:r w:rsidR="0034703C" w:rsidRPr="007B6559">
        <w:rPr>
          <w:rFonts w:ascii="Bookman Old Style" w:hAnsi="Bookman Old Style" w:cs="Arial"/>
          <w:color w:val="000000" w:themeColor="text1"/>
          <w:sz w:val="24"/>
          <w:szCs w:val="24"/>
        </w:rPr>
        <w:t>la Jurisdicción Especial para la Paz asume el conocimiento del caso, eventualmente, y decide la medida jurídica definitiva que haya lugar a adoptar</w:t>
      </w:r>
      <w:r w:rsidRPr="007B6559">
        <w:rPr>
          <w:rFonts w:ascii="Bookman Old Style" w:hAnsi="Bookman Old Style" w:cs="Arial"/>
          <w:color w:val="000000" w:themeColor="text1"/>
          <w:sz w:val="24"/>
          <w:szCs w:val="24"/>
        </w:rPr>
        <w:t xml:space="preserve">… </w:t>
      </w:r>
      <w:r w:rsidR="0034703C" w:rsidRPr="007B6559">
        <w:rPr>
          <w:rFonts w:ascii="Bookman Old Style" w:hAnsi="Bookman Old Style" w:cs="Arial"/>
          <w:color w:val="000000" w:themeColor="text1"/>
          <w:sz w:val="24"/>
          <w:szCs w:val="24"/>
        </w:rPr>
        <w:t>habida cuenta la manifestación que cada uno hace de someterse al SIVJRNR</w:t>
      </w:r>
      <w:r w:rsidRPr="007B6559">
        <w:rPr>
          <w:rFonts w:ascii="Bookman Old Style" w:hAnsi="Bookman Old Style" w:cs="Arial"/>
          <w:color w:val="000000" w:themeColor="text1"/>
          <w:sz w:val="24"/>
          <w:szCs w:val="24"/>
        </w:rPr>
        <w:t>”.</w:t>
      </w:r>
    </w:p>
    <w:p w:rsidR="0079081F" w:rsidRPr="007B6559" w:rsidRDefault="0079081F" w:rsidP="0079081F">
      <w:pPr>
        <w:tabs>
          <w:tab w:val="left" w:pos="2280"/>
        </w:tabs>
        <w:spacing w:after="0" w:line="240" w:lineRule="auto"/>
        <w:jc w:val="both"/>
        <w:rPr>
          <w:rFonts w:ascii="Bookman Old Style" w:hAnsi="Bookman Old Style" w:cs="Arial"/>
          <w:color w:val="000000" w:themeColor="text1"/>
          <w:sz w:val="24"/>
          <w:szCs w:val="24"/>
        </w:rPr>
      </w:pPr>
    </w:p>
    <w:p w:rsidR="00A70369" w:rsidRPr="007B6559" w:rsidRDefault="00A70369" w:rsidP="00A70369">
      <w:pPr>
        <w:tabs>
          <w:tab w:val="left" w:pos="2280"/>
        </w:tabs>
        <w:spacing w:after="0" w:line="240" w:lineRule="auto"/>
        <w:jc w:val="both"/>
        <w:rPr>
          <w:rFonts w:ascii="Bookman Old Style" w:hAnsi="Bookman Old Style" w:cs="Arial"/>
          <w:color w:val="000000" w:themeColor="text1"/>
          <w:sz w:val="24"/>
          <w:szCs w:val="24"/>
        </w:rPr>
      </w:pPr>
      <w:r w:rsidRPr="007B6559">
        <w:rPr>
          <w:rFonts w:ascii="Bookman Old Style" w:hAnsi="Bookman Old Style" w:cs="Arial"/>
          <w:color w:val="000000" w:themeColor="text1"/>
          <w:sz w:val="24"/>
          <w:szCs w:val="24"/>
        </w:rPr>
        <w:t>“Se evidencia, entonces, que no es suficiente el acogimiento de los interesados a la nueva jurisdicción especial sino que se han de cumplir rigurosos requerimientos y observar precisos criterios a fin de determinar si el proceso que se les ha adelantado es absorbido por</w:t>
      </w:r>
      <w:bookmarkStart w:id="0" w:name="_GoBack"/>
      <w:bookmarkEnd w:id="0"/>
      <w:r w:rsidRPr="007B6559">
        <w:rPr>
          <w:rFonts w:ascii="Bookman Old Style" w:hAnsi="Bookman Old Style" w:cs="Arial"/>
          <w:color w:val="000000" w:themeColor="text1"/>
          <w:sz w:val="24"/>
          <w:szCs w:val="24"/>
        </w:rPr>
        <w:t xml:space="preserve"> la JEP y, de acuerdo con lo que se llegue a establecer, se adopta alguna de las medidas de contenido reparador y/o de restricción de libertades y derechos, sanciones alternativas u ordinarias aplicables a los miembros de la Fuerza Pública que la ley reglamentará.</w:t>
      </w:r>
    </w:p>
    <w:p w:rsidR="007146DC" w:rsidRPr="007B6559" w:rsidRDefault="007146DC" w:rsidP="00A70369">
      <w:pPr>
        <w:tabs>
          <w:tab w:val="left" w:pos="2280"/>
        </w:tabs>
        <w:spacing w:after="0" w:line="240" w:lineRule="auto"/>
        <w:jc w:val="both"/>
        <w:rPr>
          <w:rFonts w:ascii="Bookman Old Style" w:hAnsi="Bookman Old Style" w:cs="Arial"/>
          <w:color w:val="000000" w:themeColor="text1"/>
          <w:sz w:val="24"/>
          <w:szCs w:val="24"/>
        </w:rPr>
      </w:pPr>
    </w:p>
    <w:p w:rsidR="00A70369" w:rsidRPr="007B6559" w:rsidRDefault="00A70369" w:rsidP="00A70369">
      <w:pPr>
        <w:tabs>
          <w:tab w:val="left" w:pos="2280"/>
        </w:tabs>
        <w:spacing w:after="0" w:line="240" w:lineRule="auto"/>
        <w:jc w:val="both"/>
        <w:rPr>
          <w:rFonts w:ascii="Bookman Old Style" w:hAnsi="Bookman Old Style" w:cs="Arial"/>
          <w:color w:val="000000" w:themeColor="text1"/>
          <w:sz w:val="24"/>
          <w:szCs w:val="24"/>
        </w:rPr>
      </w:pPr>
      <w:r w:rsidRPr="007B6559">
        <w:rPr>
          <w:rFonts w:ascii="Bookman Old Style" w:hAnsi="Bookman Old Style" w:cs="Arial"/>
          <w:color w:val="000000" w:themeColor="text1"/>
          <w:sz w:val="24"/>
          <w:szCs w:val="24"/>
        </w:rPr>
        <w:t xml:space="preserve">“En suma, el beneficio jurídico no tiene carácter definitivo y es de orden meramente instrumental en aras de materializar el tratamiento simétrico en algunos aspectos, diferenciado en otros, pero siempre equitativo, equilibrado y simultáneo para </w:t>
      </w:r>
      <w:r w:rsidRPr="007B6559">
        <w:rPr>
          <w:rFonts w:ascii="Bookman Old Style" w:hAnsi="Bookman Old Style" w:cs="Arial"/>
          <w:color w:val="000000" w:themeColor="text1"/>
          <w:sz w:val="24"/>
          <w:szCs w:val="24"/>
        </w:rPr>
        <w:lastRenderedPageBreak/>
        <w:t>miembros de la Fuerza Pública entre tanto la autoridad competente de la Jurisdicción Especial para la Paz asume el asunto y profiere decisión definitiva”</w:t>
      </w:r>
      <w:r w:rsidR="000C3A90" w:rsidRPr="007B6559">
        <w:rPr>
          <w:rFonts w:ascii="Bookman Old Style" w:hAnsi="Bookman Old Style" w:cs="Arial"/>
          <w:color w:val="000000" w:themeColor="text1"/>
          <w:sz w:val="24"/>
          <w:szCs w:val="24"/>
        </w:rPr>
        <w:t>, subraya</w:t>
      </w:r>
      <w:r w:rsidRPr="007B6559">
        <w:rPr>
          <w:rFonts w:ascii="Bookman Old Style" w:hAnsi="Bookman Old Style" w:cs="Arial"/>
          <w:color w:val="000000" w:themeColor="text1"/>
          <w:sz w:val="24"/>
          <w:szCs w:val="24"/>
        </w:rPr>
        <w:t xml:space="preserve"> la Corte.</w:t>
      </w:r>
    </w:p>
    <w:p w:rsidR="00A70369" w:rsidRPr="007B6559" w:rsidRDefault="00A70369" w:rsidP="00A70369">
      <w:pPr>
        <w:tabs>
          <w:tab w:val="left" w:pos="2280"/>
        </w:tabs>
        <w:spacing w:after="0" w:line="240" w:lineRule="auto"/>
        <w:jc w:val="both"/>
        <w:rPr>
          <w:rFonts w:ascii="Bookman Old Style" w:hAnsi="Bookman Old Style" w:cs="Arial"/>
          <w:color w:val="000000" w:themeColor="text1"/>
          <w:sz w:val="24"/>
          <w:szCs w:val="24"/>
        </w:rPr>
      </w:pPr>
    </w:p>
    <w:p w:rsidR="00EB6A8B" w:rsidRPr="007B6559" w:rsidRDefault="007B6559" w:rsidP="00EB6A8B">
      <w:pPr>
        <w:tabs>
          <w:tab w:val="left" w:pos="2280"/>
        </w:tabs>
        <w:spacing w:after="0" w:line="240" w:lineRule="auto"/>
        <w:jc w:val="both"/>
        <w:rPr>
          <w:rFonts w:ascii="Bookman Old Style" w:hAnsi="Bookman Old Style" w:cs="Arial"/>
          <w:color w:val="000000" w:themeColor="text1"/>
          <w:sz w:val="24"/>
          <w:szCs w:val="24"/>
        </w:rPr>
      </w:pPr>
      <w:r>
        <w:rPr>
          <w:rFonts w:ascii="Bookman Old Style" w:hAnsi="Bookman Old Style" w:cs="Arial"/>
          <w:color w:val="000000" w:themeColor="text1"/>
          <w:sz w:val="24"/>
          <w:szCs w:val="24"/>
        </w:rPr>
        <w:t>De acuerdo con los pronunciamientos</w:t>
      </w:r>
      <w:r w:rsidR="000C3A90" w:rsidRPr="007B6559">
        <w:rPr>
          <w:rFonts w:ascii="Bookman Old Style" w:hAnsi="Bookman Old Style" w:cs="Arial"/>
          <w:color w:val="000000" w:themeColor="text1"/>
          <w:sz w:val="24"/>
          <w:szCs w:val="24"/>
        </w:rPr>
        <w:t>, las e</w:t>
      </w:r>
      <w:r w:rsidR="004166A0" w:rsidRPr="007B6559">
        <w:rPr>
          <w:rFonts w:ascii="Bookman Old Style" w:hAnsi="Bookman Old Style" w:cs="Arial"/>
          <w:color w:val="000000" w:themeColor="text1"/>
          <w:sz w:val="24"/>
          <w:szCs w:val="24"/>
        </w:rPr>
        <w:t xml:space="preserve">xigencias que deben cumplir los militares </w:t>
      </w:r>
      <w:r>
        <w:rPr>
          <w:rFonts w:ascii="Bookman Old Style" w:hAnsi="Bookman Old Style" w:cs="Arial"/>
          <w:color w:val="000000" w:themeColor="text1"/>
          <w:sz w:val="24"/>
          <w:szCs w:val="24"/>
        </w:rPr>
        <w:t xml:space="preserve">que permanecen en la clandestinidad </w:t>
      </w:r>
      <w:r w:rsidR="000C3A90" w:rsidRPr="007B6559">
        <w:rPr>
          <w:rFonts w:ascii="Bookman Old Style" w:hAnsi="Bookman Old Style" w:cs="Arial"/>
          <w:color w:val="000000" w:themeColor="text1"/>
          <w:sz w:val="24"/>
          <w:szCs w:val="24"/>
        </w:rPr>
        <w:t xml:space="preserve">se contraen a (i) acreditar la calidad de miembro de la Fuerza Pública </w:t>
      </w:r>
      <w:r w:rsidR="00EB6A8B" w:rsidRPr="007B6559">
        <w:rPr>
          <w:rFonts w:ascii="Bookman Old Style" w:hAnsi="Bookman Old Style" w:cs="Arial"/>
          <w:color w:val="000000" w:themeColor="text1"/>
          <w:sz w:val="24"/>
          <w:szCs w:val="24"/>
        </w:rPr>
        <w:t>a</w:t>
      </w:r>
      <w:r w:rsidR="000C3A90" w:rsidRPr="007B6559">
        <w:rPr>
          <w:rFonts w:ascii="Bookman Old Style" w:hAnsi="Bookman Old Style" w:cs="Arial"/>
          <w:color w:val="000000" w:themeColor="text1"/>
          <w:sz w:val="24"/>
          <w:szCs w:val="24"/>
        </w:rPr>
        <w:t xml:space="preserve">l momento de los hechos investigados o juzgados, y (ii) demostrar que </w:t>
      </w:r>
      <w:r>
        <w:rPr>
          <w:rFonts w:ascii="Bookman Old Style" w:hAnsi="Bookman Old Style" w:cs="Arial"/>
          <w:color w:val="000000" w:themeColor="text1"/>
          <w:sz w:val="24"/>
          <w:szCs w:val="24"/>
        </w:rPr>
        <w:t xml:space="preserve">las órdenes de captura en su contra </w:t>
      </w:r>
      <w:r w:rsidR="000C3A90" w:rsidRPr="007B6559">
        <w:rPr>
          <w:rFonts w:ascii="Bookman Old Style" w:hAnsi="Bookman Old Style" w:cs="Arial"/>
          <w:color w:val="000000" w:themeColor="text1"/>
          <w:sz w:val="24"/>
          <w:szCs w:val="24"/>
        </w:rPr>
        <w:t>se han emitido por delitos cometidos con ocasión, por causa, o en relación directa o indirecta con el conflicto armado interno, ejecutados antes de la vigencia</w:t>
      </w:r>
      <w:r w:rsidR="00EB6A8B" w:rsidRPr="007B6559">
        <w:rPr>
          <w:rFonts w:ascii="Bookman Old Style" w:hAnsi="Bookman Old Style" w:cs="Arial"/>
          <w:color w:val="000000" w:themeColor="text1"/>
          <w:sz w:val="24"/>
          <w:szCs w:val="24"/>
        </w:rPr>
        <w:t xml:space="preserve"> del Acuerdo Final para la Paz.</w:t>
      </w:r>
    </w:p>
    <w:p w:rsidR="00EB6A8B" w:rsidRPr="007B6559" w:rsidRDefault="00EB6A8B" w:rsidP="00EB6A8B">
      <w:pPr>
        <w:tabs>
          <w:tab w:val="left" w:pos="2280"/>
        </w:tabs>
        <w:spacing w:after="0" w:line="240" w:lineRule="auto"/>
        <w:jc w:val="both"/>
        <w:rPr>
          <w:rFonts w:ascii="Bookman Old Style" w:hAnsi="Bookman Old Style" w:cs="Arial"/>
          <w:color w:val="000000" w:themeColor="text1"/>
          <w:sz w:val="24"/>
          <w:szCs w:val="24"/>
        </w:rPr>
      </w:pPr>
    </w:p>
    <w:p w:rsidR="00496ED6" w:rsidRPr="007B6559" w:rsidRDefault="00556ED2" w:rsidP="00EB6A8B">
      <w:pPr>
        <w:tabs>
          <w:tab w:val="left" w:pos="2280"/>
        </w:tabs>
        <w:spacing w:after="0" w:line="240" w:lineRule="auto"/>
        <w:jc w:val="both"/>
        <w:rPr>
          <w:rFonts w:ascii="Bookman Old Style" w:eastAsia="Calibri" w:hAnsi="Bookman Old Style" w:cs="Arial"/>
          <w:color w:val="000000" w:themeColor="text1"/>
          <w:sz w:val="24"/>
          <w:szCs w:val="24"/>
        </w:rPr>
      </w:pPr>
      <w:r w:rsidRPr="007B6559">
        <w:rPr>
          <w:rFonts w:ascii="Bookman Old Style" w:eastAsia="Calibri" w:hAnsi="Bookman Old Style"/>
          <w:color w:val="000000" w:themeColor="text1"/>
          <w:sz w:val="24"/>
          <w:szCs w:val="24"/>
        </w:rPr>
        <w:t xml:space="preserve">En </w:t>
      </w:r>
      <w:r w:rsidR="00EB6A8B" w:rsidRPr="007B6559">
        <w:rPr>
          <w:rFonts w:ascii="Bookman Old Style" w:eastAsia="Calibri" w:hAnsi="Bookman Old Style"/>
          <w:color w:val="000000" w:themeColor="text1"/>
          <w:sz w:val="24"/>
          <w:szCs w:val="24"/>
        </w:rPr>
        <w:t xml:space="preserve">los próximos diez días, los </w:t>
      </w:r>
      <w:r w:rsidRPr="007B6559">
        <w:rPr>
          <w:rFonts w:ascii="Bookman Old Style" w:eastAsia="Calibri" w:hAnsi="Bookman Old Style"/>
          <w:color w:val="000000" w:themeColor="text1"/>
          <w:sz w:val="24"/>
          <w:szCs w:val="24"/>
        </w:rPr>
        <w:t xml:space="preserve">tres </w:t>
      </w:r>
      <w:r w:rsidR="00496ED6" w:rsidRPr="007B6559">
        <w:rPr>
          <w:rFonts w:ascii="Bookman Old Style" w:eastAsia="Calibri" w:hAnsi="Bookman Old Style"/>
          <w:color w:val="000000" w:themeColor="text1"/>
          <w:sz w:val="24"/>
          <w:szCs w:val="24"/>
        </w:rPr>
        <w:t>procesados</w:t>
      </w:r>
      <w:r w:rsidR="00496ED6" w:rsidRPr="007B6559">
        <w:rPr>
          <w:rFonts w:ascii="Bookman Old Style" w:hAnsi="Bookman Old Style" w:cs="Arial"/>
          <w:color w:val="000000" w:themeColor="text1"/>
          <w:sz w:val="24"/>
          <w:szCs w:val="24"/>
        </w:rPr>
        <w:t xml:space="preserve"> </w:t>
      </w:r>
      <w:r w:rsidR="00DB7E31" w:rsidRPr="007B6559">
        <w:rPr>
          <w:rFonts w:ascii="Bookman Old Style" w:hAnsi="Bookman Old Style" w:cs="Arial"/>
          <w:color w:val="000000" w:themeColor="text1"/>
          <w:sz w:val="24"/>
          <w:szCs w:val="24"/>
        </w:rPr>
        <w:t>tendrán que</w:t>
      </w:r>
      <w:r w:rsidR="00496ED6" w:rsidRPr="007B6559">
        <w:rPr>
          <w:rFonts w:ascii="Bookman Old Style" w:hAnsi="Bookman Old Style" w:cs="Arial"/>
          <w:color w:val="000000" w:themeColor="text1"/>
          <w:sz w:val="24"/>
          <w:szCs w:val="24"/>
        </w:rPr>
        <w:t xml:space="preserve"> acudir a </w:t>
      </w:r>
      <w:r w:rsidR="00496ED6" w:rsidRPr="007B6559">
        <w:rPr>
          <w:rFonts w:ascii="Bookman Old Style" w:eastAsia="Calibri" w:hAnsi="Bookman Old Style" w:cs="Arial"/>
          <w:color w:val="000000" w:themeColor="text1"/>
          <w:sz w:val="24"/>
          <w:szCs w:val="24"/>
        </w:rPr>
        <w:t xml:space="preserve">suscribir </w:t>
      </w:r>
      <w:r w:rsidR="002866BD" w:rsidRPr="007B6559">
        <w:rPr>
          <w:rFonts w:ascii="Bookman Old Style" w:eastAsia="Calibri" w:hAnsi="Bookman Old Style" w:cs="Arial"/>
          <w:color w:val="000000" w:themeColor="text1"/>
          <w:sz w:val="24"/>
          <w:szCs w:val="24"/>
        </w:rPr>
        <w:t xml:space="preserve">un </w:t>
      </w:r>
      <w:r w:rsidR="00496ED6" w:rsidRPr="007B6559">
        <w:rPr>
          <w:rFonts w:ascii="Bookman Old Style" w:eastAsia="Calibri" w:hAnsi="Bookman Old Style" w:cs="Arial"/>
          <w:color w:val="000000" w:themeColor="text1"/>
          <w:sz w:val="24"/>
          <w:szCs w:val="24"/>
        </w:rPr>
        <w:t xml:space="preserve">acta </w:t>
      </w:r>
      <w:r w:rsidR="002866BD" w:rsidRPr="007B6559">
        <w:rPr>
          <w:rFonts w:ascii="Bookman Old Style" w:eastAsia="Calibri" w:hAnsi="Bookman Old Style" w:cs="Arial"/>
          <w:color w:val="000000" w:themeColor="text1"/>
          <w:sz w:val="24"/>
          <w:szCs w:val="24"/>
        </w:rPr>
        <w:t xml:space="preserve">similar a la </w:t>
      </w:r>
      <w:r w:rsidR="00496ED6" w:rsidRPr="007B6559">
        <w:rPr>
          <w:rFonts w:ascii="Bookman Old Style" w:eastAsia="Calibri" w:hAnsi="Bookman Old Style" w:cs="Arial"/>
          <w:color w:val="000000" w:themeColor="text1"/>
          <w:sz w:val="24"/>
          <w:szCs w:val="24"/>
        </w:rPr>
        <w:t xml:space="preserve">prevista </w:t>
      </w:r>
      <w:r w:rsidR="002866BD" w:rsidRPr="007B6559">
        <w:rPr>
          <w:rFonts w:ascii="Bookman Old Style" w:eastAsia="Calibri" w:hAnsi="Bookman Old Style" w:cs="Arial"/>
          <w:color w:val="000000" w:themeColor="text1"/>
          <w:sz w:val="24"/>
          <w:szCs w:val="24"/>
        </w:rPr>
        <w:t>por la</w:t>
      </w:r>
      <w:r w:rsidR="00496ED6" w:rsidRPr="007B6559">
        <w:rPr>
          <w:rFonts w:ascii="Bookman Old Style" w:eastAsia="Calibri" w:hAnsi="Bookman Old Style" w:cs="Arial"/>
          <w:color w:val="000000" w:themeColor="text1"/>
          <w:sz w:val="24"/>
          <w:szCs w:val="24"/>
        </w:rPr>
        <w:t xml:space="preserve"> Ley 1820 de 2016</w:t>
      </w:r>
      <w:r w:rsidR="002866BD" w:rsidRPr="007B6559">
        <w:rPr>
          <w:rFonts w:ascii="Bookman Old Style" w:eastAsia="Calibri" w:hAnsi="Bookman Old Style" w:cs="Arial"/>
          <w:color w:val="000000" w:themeColor="text1"/>
          <w:sz w:val="24"/>
          <w:szCs w:val="24"/>
        </w:rPr>
        <w:t>, para quienes reciben el beneficio de la libertad transitoria, condicionada y anticipada al acogerse a la JEP</w:t>
      </w:r>
      <w:r w:rsidR="00496ED6" w:rsidRPr="007B6559">
        <w:rPr>
          <w:rFonts w:ascii="Bookman Old Style" w:eastAsia="Calibri" w:hAnsi="Bookman Old Style" w:cs="Arial"/>
          <w:color w:val="000000" w:themeColor="text1"/>
          <w:sz w:val="24"/>
          <w:szCs w:val="24"/>
        </w:rPr>
        <w:t>. En caso de no hacerlo, se reactivarán las órdenes de captura suspendidas.</w:t>
      </w:r>
    </w:p>
    <w:p w:rsidR="002F773C" w:rsidRPr="007B6559" w:rsidRDefault="002F773C" w:rsidP="00EB6A8B">
      <w:pPr>
        <w:tabs>
          <w:tab w:val="left" w:pos="2280"/>
        </w:tabs>
        <w:spacing w:after="0" w:line="240" w:lineRule="auto"/>
        <w:jc w:val="both"/>
        <w:rPr>
          <w:rFonts w:ascii="Bookman Old Style" w:eastAsia="Calibri" w:hAnsi="Bookman Old Style" w:cs="Arial"/>
          <w:color w:val="000000" w:themeColor="text1"/>
          <w:sz w:val="24"/>
          <w:szCs w:val="24"/>
        </w:rPr>
      </w:pPr>
    </w:p>
    <w:p w:rsidR="002F773C" w:rsidRPr="007B6559" w:rsidRDefault="002F773C" w:rsidP="00EB6A8B">
      <w:pPr>
        <w:tabs>
          <w:tab w:val="left" w:pos="2280"/>
        </w:tabs>
        <w:spacing w:after="0" w:line="240" w:lineRule="auto"/>
        <w:jc w:val="both"/>
        <w:rPr>
          <w:rFonts w:ascii="Bookman Old Style" w:hAnsi="Bookman Old Style" w:cs="Arial"/>
          <w:i/>
          <w:color w:val="000000" w:themeColor="text1"/>
          <w:sz w:val="24"/>
          <w:szCs w:val="24"/>
        </w:rPr>
      </w:pPr>
      <w:r w:rsidRPr="007B6559">
        <w:rPr>
          <w:rFonts w:ascii="Bookman Old Style" w:eastAsia="Calibri" w:hAnsi="Bookman Old Style" w:cs="Arial"/>
          <w:i/>
          <w:color w:val="000000" w:themeColor="text1"/>
          <w:sz w:val="24"/>
          <w:szCs w:val="24"/>
        </w:rPr>
        <w:t xml:space="preserve">Ver autos </w:t>
      </w:r>
      <w:r w:rsidRPr="007B6559">
        <w:rPr>
          <w:rFonts w:ascii="Bookman Old Style" w:eastAsia="Calibri" w:hAnsi="Bookman Old Style" w:cs="Arial"/>
          <w:b/>
          <w:i/>
          <w:color w:val="000000" w:themeColor="text1"/>
          <w:sz w:val="24"/>
          <w:szCs w:val="24"/>
        </w:rPr>
        <w:t>AP4695-2017</w:t>
      </w:r>
      <w:r w:rsidRPr="007B6559">
        <w:rPr>
          <w:rFonts w:ascii="Bookman Old Style" w:eastAsia="Calibri" w:hAnsi="Bookman Old Style" w:cs="Arial"/>
          <w:i/>
          <w:color w:val="000000" w:themeColor="text1"/>
          <w:sz w:val="24"/>
          <w:szCs w:val="24"/>
        </w:rPr>
        <w:t xml:space="preserve"> y </w:t>
      </w:r>
      <w:r w:rsidRPr="007B6559">
        <w:rPr>
          <w:rFonts w:ascii="Bookman Old Style" w:eastAsia="Calibri" w:hAnsi="Bookman Old Style" w:cs="Arial"/>
          <w:b/>
          <w:i/>
          <w:color w:val="000000" w:themeColor="text1"/>
          <w:sz w:val="24"/>
          <w:szCs w:val="24"/>
        </w:rPr>
        <w:t>AP4688-2017</w:t>
      </w:r>
      <w:r w:rsidR="00A47E98" w:rsidRPr="007B6559">
        <w:rPr>
          <w:rFonts w:ascii="Bookman Old Style" w:eastAsia="Calibri" w:hAnsi="Bookman Old Style" w:cs="Arial"/>
          <w:i/>
          <w:color w:val="000000" w:themeColor="text1"/>
          <w:sz w:val="24"/>
          <w:szCs w:val="24"/>
        </w:rPr>
        <w:t>.</w:t>
      </w:r>
    </w:p>
    <w:sectPr w:rsidR="002F773C" w:rsidRPr="007B6559" w:rsidSect="009701F0">
      <w:headerReference w:type="default" r:id="rId7"/>
      <w:headerReference w:type="first" r:id="rId8"/>
      <w:pgSz w:w="12240" w:h="15840" w:code="1"/>
      <w:pgMar w:top="2552" w:right="1134"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6B" w:rsidRDefault="00B2566B">
      <w:pPr>
        <w:spacing w:after="0" w:line="240" w:lineRule="auto"/>
      </w:pPr>
      <w:r>
        <w:separator/>
      </w:r>
    </w:p>
  </w:endnote>
  <w:endnote w:type="continuationSeparator" w:id="0">
    <w:p w:rsidR="00B2566B" w:rsidRDefault="00B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6B" w:rsidRDefault="00B2566B">
      <w:pPr>
        <w:spacing w:after="0" w:line="240" w:lineRule="auto"/>
      </w:pPr>
      <w:r>
        <w:separator/>
      </w:r>
    </w:p>
  </w:footnote>
  <w:footnote w:type="continuationSeparator" w:id="0">
    <w:p w:rsidR="00B2566B" w:rsidRDefault="00B2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1DE" w:rsidRDefault="00B2566B" w:rsidP="007E71DE">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1F0" w:rsidRDefault="007B6559" w:rsidP="009701F0">
    <w:pPr>
      <w:pStyle w:val="Encabezado"/>
      <w:jc w:val="center"/>
    </w:pPr>
    <w:r w:rsidRPr="00C27781">
      <w:rPr>
        <w:noProof/>
        <w:lang w:eastAsia="es-CO"/>
      </w:rPr>
      <w:drawing>
        <wp:inline distT="0" distB="0" distL="0" distR="0">
          <wp:extent cx="1981200" cy="1981200"/>
          <wp:effectExtent l="0" t="0" r="0" b="0"/>
          <wp:docPr id="2" name="Imagen 2" descr="Descripción: C:\Users\germang\Desktop\Papelería 25 mayo 2016\PapeleriaCorte\PapeleriaPorEstructuraOrganizacional\OficinaDeComunicaciones\Logo OficinaDeComunicaci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germang\Desktop\Papelería 25 mayo 2016\PapeleriaCorte\PapeleriaPorEstructuraOrganizacional\OficinaDeComunicaciones\Logo OficinaDeComunicacio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D3EAE"/>
    <w:multiLevelType w:val="hybridMultilevel"/>
    <w:tmpl w:val="91B8D0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0742AB"/>
    <w:multiLevelType w:val="hybridMultilevel"/>
    <w:tmpl w:val="D8F01D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BA"/>
    <w:rsid w:val="00015F87"/>
    <w:rsid w:val="00021D21"/>
    <w:rsid w:val="0006633C"/>
    <w:rsid w:val="00080C03"/>
    <w:rsid w:val="0009338B"/>
    <w:rsid w:val="000C3240"/>
    <w:rsid w:val="000C3A90"/>
    <w:rsid w:val="000C6D6F"/>
    <w:rsid w:val="000E094A"/>
    <w:rsid w:val="00131412"/>
    <w:rsid w:val="00150124"/>
    <w:rsid w:val="0015538C"/>
    <w:rsid w:val="00191E04"/>
    <w:rsid w:val="00196189"/>
    <w:rsid w:val="001C7087"/>
    <w:rsid w:val="00232075"/>
    <w:rsid w:val="0028347C"/>
    <w:rsid w:val="002866BD"/>
    <w:rsid w:val="00295813"/>
    <w:rsid w:val="002B7139"/>
    <w:rsid w:val="002D7AA1"/>
    <w:rsid w:val="002F773C"/>
    <w:rsid w:val="00300885"/>
    <w:rsid w:val="0034183A"/>
    <w:rsid w:val="0034703C"/>
    <w:rsid w:val="003673A5"/>
    <w:rsid w:val="003D6967"/>
    <w:rsid w:val="0041210C"/>
    <w:rsid w:val="004166A0"/>
    <w:rsid w:val="004518F8"/>
    <w:rsid w:val="00482712"/>
    <w:rsid w:val="00496ED6"/>
    <w:rsid w:val="004F71E6"/>
    <w:rsid w:val="005130F1"/>
    <w:rsid w:val="00556ED2"/>
    <w:rsid w:val="00584D6C"/>
    <w:rsid w:val="005C70E7"/>
    <w:rsid w:val="005E7736"/>
    <w:rsid w:val="005F127F"/>
    <w:rsid w:val="00635013"/>
    <w:rsid w:val="0068288F"/>
    <w:rsid w:val="0068464F"/>
    <w:rsid w:val="0070634A"/>
    <w:rsid w:val="007146DC"/>
    <w:rsid w:val="007208E0"/>
    <w:rsid w:val="00723C00"/>
    <w:rsid w:val="007743FE"/>
    <w:rsid w:val="00774E10"/>
    <w:rsid w:val="00786577"/>
    <w:rsid w:val="0079081F"/>
    <w:rsid w:val="00796380"/>
    <w:rsid w:val="007B6559"/>
    <w:rsid w:val="00891FC7"/>
    <w:rsid w:val="00945767"/>
    <w:rsid w:val="009A5AF0"/>
    <w:rsid w:val="00A07FCD"/>
    <w:rsid w:val="00A11E75"/>
    <w:rsid w:val="00A47E98"/>
    <w:rsid w:val="00A70369"/>
    <w:rsid w:val="00A76B3B"/>
    <w:rsid w:val="00AE2914"/>
    <w:rsid w:val="00AF2652"/>
    <w:rsid w:val="00AF45CB"/>
    <w:rsid w:val="00B113DD"/>
    <w:rsid w:val="00B20A8A"/>
    <w:rsid w:val="00B2566B"/>
    <w:rsid w:val="00B558E2"/>
    <w:rsid w:val="00B80693"/>
    <w:rsid w:val="00B86B38"/>
    <w:rsid w:val="00B91571"/>
    <w:rsid w:val="00B94F8E"/>
    <w:rsid w:val="00BA2FD5"/>
    <w:rsid w:val="00BE338A"/>
    <w:rsid w:val="00BF7F75"/>
    <w:rsid w:val="00C4570B"/>
    <w:rsid w:val="00CA4C07"/>
    <w:rsid w:val="00CD0445"/>
    <w:rsid w:val="00D10130"/>
    <w:rsid w:val="00D243B8"/>
    <w:rsid w:val="00D75A9A"/>
    <w:rsid w:val="00D91F14"/>
    <w:rsid w:val="00DB7E31"/>
    <w:rsid w:val="00E13E9B"/>
    <w:rsid w:val="00E208EE"/>
    <w:rsid w:val="00E76C7A"/>
    <w:rsid w:val="00EB6A8B"/>
    <w:rsid w:val="00EE25BA"/>
    <w:rsid w:val="00F35B56"/>
    <w:rsid w:val="00F35F0C"/>
    <w:rsid w:val="00F65E06"/>
    <w:rsid w:val="00F71159"/>
    <w:rsid w:val="00F97C58"/>
    <w:rsid w:val="00FB61CE"/>
    <w:rsid w:val="00FE1C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B3D6A4-37C0-4CB2-A0D0-12F54EA9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5BA"/>
    <w:pPr>
      <w:spacing w:after="160" w:line="259" w:lineRule="auto"/>
    </w:pPr>
    <w:rPr>
      <w:rFonts w:asciiTheme="minorHAnsi" w:hAnsiTheme="minorHAnsi" w:cstheme="minorBidi"/>
      <w:sz w:val="22"/>
      <w:szCs w:val="22"/>
    </w:rPr>
  </w:style>
  <w:style w:type="paragraph" w:styleId="Ttulo9">
    <w:name w:val="heading 9"/>
    <w:basedOn w:val="Normal"/>
    <w:next w:val="Normal"/>
    <w:link w:val="Ttulo9Car"/>
    <w:qFormat/>
    <w:rsid w:val="00FB61CE"/>
    <w:pPr>
      <w:keepNext/>
      <w:spacing w:after="0" w:line="240" w:lineRule="auto"/>
      <w:jc w:val="center"/>
      <w:outlineLvl w:val="8"/>
    </w:pPr>
    <w:rPr>
      <w:rFonts w:ascii="Times New Roman" w:eastAsia="Times New Roman" w:hAnsi="Times New Roman" w:cs="Times New Roman"/>
      <w:sz w:val="3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25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25BA"/>
    <w:rPr>
      <w:rFonts w:asciiTheme="minorHAnsi" w:hAnsiTheme="minorHAnsi" w:cstheme="minorBidi"/>
      <w:sz w:val="22"/>
      <w:szCs w:val="22"/>
    </w:rPr>
  </w:style>
  <w:style w:type="paragraph" w:styleId="Piedepgina">
    <w:name w:val="footer"/>
    <w:basedOn w:val="Normal"/>
    <w:link w:val="PiedepginaCar"/>
    <w:uiPriority w:val="99"/>
    <w:unhideWhenUsed/>
    <w:rsid w:val="00EE25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25BA"/>
    <w:rPr>
      <w:rFonts w:asciiTheme="minorHAnsi" w:hAnsiTheme="minorHAnsi" w:cstheme="minorBidi"/>
      <w:sz w:val="22"/>
      <w:szCs w:val="22"/>
    </w:rPr>
  </w:style>
  <w:style w:type="character" w:customStyle="1" w:styleId="Ttulo9Car">
    <w:name w:val="Título 9 Car"/>
    <w:basedOn w:val="Fuentedeprrafopredeter"/>
    <w:link w:val="Ttulo9"/>
    <w:rsid w:val="00FB61CE"/>
    <w:rPr>
      <w:rFonts w:eastAsia="Times New Roman"/>
      <w:sz w:val="30"/>
      <w:szCs w:val="20"/>
      <w:lang w:val="es-ES_tradnl" w:eastAsia="es-ES"/>
    </w:rPr>
  </w:style>
  <w:style w:type="paragraph" w:styleId="NormalWeb">
    <w:name w:val="Normal (Web)"/>
    <w:basedOn w:val="Normal"/>
    <w:uiPriority w:val="99"/>
    <w:unhideWhenUsed/>
    <w:rsid w:val="00A11E75"/>
    <w:pPr>
      <w:spacing w:after="0"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E1C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1CC7"/>
    <w:rPr>
      <w:rFonts w:ascii="Segoe UI" w:hAnsi="Segoe UI" w:cs="Segoe UI"/>
      <w:sz w:val="18"/>
      <w:szCs w:val="18"/>
    </w:rPr>
  </w:style>
  <w:style w:type="character" w:customStyle="1" w:styleId="TextoindependienteCar">
    <w:name w:val="Texto independiente Car"/>
    <w:basedOn w:val="Fuentedeprrafopredeter"/>
    <w:link w:val="Textoindependiente"/>
    <w:rsid w:val="00496ED6"/>
    <w:rPr>
      <w:rFonts w:ascii="Verdana" w:eastAsia="Times New Roman" w:hAnsi="Verdana"/>
      <w:szCs w:val="20"/>
    </w:rPr>
  </w:style>
  <w:style w:type="paragraph" w:styleId="Textoindependiente">
    <w:name w:val="Body Text"/>
    <w:basedOn w:val="Normal"/>
    <w:link w:val="TextoindependienteCar"/>
    <w:rsid w:val="00496ED6"/>
    <w:pPr>
      <w:spacing w:after="0" w:line="360" w:lineRule="auto"/>
      <w:jc w:val="both"/>
    </w:pPr>
    <w:rPr>
      <w:rFonts w:ascii="Verdana" w:eastAsia="Times New Roman" w:hAnsi="Verdana" w:cs="Times New Roman"/>
      <w:sz w:val="24"/>
      <w:szCs w:val="20"/>
    </w:rPr>
  </w:style>
  <w:style w:type="character" w:customStyle="1" w:styleId="TextoindependienteCar1">
    <w:name w:val="Texto independiente Car1"/>
    <w:basedOn w:val="Fuentedeprrafopredeter"/>
    <w:uiPriority w:val="99"/>
    <w:semiHidden/>
    <w:rsid w:val="00496ED6"/>
    <w:rPr>
      <w:rFonts w:asciiTheme="minorHAnsi" w:hAnsiTheme="minorHAnsi" w:cstheme="minorBidi"/>
      <w:sz w:val="22"/>
      <w:szCs w:val="22"/>
    </w:rPr>
  </w:style>
  <w:style w:type="paragraph" w:styleId="Textonotapie">
    <w:name w:val="footnote text"/>
    <w:basedOn w:val="Normal"/>
    <w:link w:val="TextonotapieCar"/>
    <w:uiPriority w:val="99"/>
    <w:semiHidden/>
    <w:unhideWhenUsed/>
    <w:rsid w:val="00496ED6"/>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semiHidden/>
    <w:rsid w:val="00496ED6"/>
    <w:rPr>
      <w:rFonts w:ascii="Calibri" w:eastAsia="Calibri" w:hAnsi="Calibri"/>
      <w:sz w:val="20"/>
      <w:szCs w:val="20"/>
      <w:lang w:val="es-ES"/>
    </w:rPr>
  </w:style>
  <w:style w:type="character" w:styleId="Refdenotaalpie">
    <w:name w:val="footnote reference"/>
    <w:aliases w:val="Texto de nota al pie,FC,Appel note de bas de page,referencia nota al pie,BVI fnr,Footnote symbol,Footnote,Ref. de nota al pie2,Nota de pie,Ref,de nota al pie,Pie de pagina,Ref. ...,Ref1,Ref. de nota al pie 2,Footnotes refss,f,4_G"/>
    <w:qFormat/>
    <w:rsid w:val="00496E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526</Words>
  <Characters>2899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Gomez Rojas</dc:creator>
  <cp:keywords/>
  <dc:description/>
  <cp:lastModifiedBy>German Gomez Rojas</cp:lastModifiedBy>
  <cp:revision>24</cp:revision>
  <cp:lastPrinted>2017-07-26T19:57:00Z</cp:lastPrinted>
  <dcterms:created xsi:type="dcterms:W3CDTF">2017-07-26T16:42:00Z</dcterms:created>
  <dcterms:modified xsi:type="dcterms:W3CDTF">2017-07-26T20:05:00Z</dcterms:modified>
</cp:coreProperties>
</file>